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6EF" w:rsidRDefault="00176E1B">
      <w:pPr>
        <w:spacing w:line="360" w:lineRule="auto"/>
        <w:jc w:val="center"/>
      </w:pPr>
      <w:r>
        <w:rPr>
          <w:noProof/>
          <w:lang w:eastAsia="fr-FR"/>
        </w:rPr>
        <w:drawing>
          <wp:inline distT="0" distB="0" distL="0" distR="0">
            <wp:extent cx="5619750" cy="690880"/>
            <wp:effectExtent l="0" t="0" r="0" b="0"/>
            <wp:docPr id="1" name="Image 1316558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316558028"/>
                    <pic:cNvPicPr>
                      <a:picLocks noChangeAspect="1" noChangeArrowheads="1"/>
                    </pic:cNvPicPr>
                  </pic:nvPicPr>
                  <pic:blipFill>
                    <a:blip r:embed="rId7"/>
                    <a:stretch>
                      <a:fillRect/>
                    </a:stretch>
                  </pic:blipFill>
                  <pic:spPr bwMode="auto">
                    <a:xfrm>
                      <a:off x="0" y="0"/>
                      <a:ext cx="5619750" cy="690880"/>
                    </a:xfrm>
                    <a:prstGeom prst="rect">
                      <a:avLst/>
                    </a:prstGeom>
                  </pic:spPr>
                </pic:pic>
              </a:graphicData>
            </a:graphic>
          </wp:inline>
        </w:drawing>
      </w:r>
    </w:p>
    <w:p w:rsidR="006066EF" w:rsidRDefault="006066EF">
      <w:pPr>
        <w:spacing w:line="360" w:lineRule="auto"/>
        <w:jc w:val="center"/>
      </w:pPr>
    </w:p>
    <w:p w:rsidR="006F76BC" w:rsidRDefault="00176E1B">
      <w:pPr>
        <w:spacing w:line="360" w:lineRule="auto"/>
      </w:pPr>
      <w:r>
        <w:rPr>
          <w:sz w:val="32"/>
          <w:szCs w:val="32"/>
        </w:rPr>
        <w:t>VOTRE NOM</w:t>
      </w:r>
      <w:r w:rsidR="006F76BC">
        <w:t xml:space="preserve"> ____________</w:t>
      </w:r>
      <w:r w:rsidR="006F76BC" w:rsidRPr="006F76BC">
        <w:t xml:space="preserve"> </w:t>
      </w:r>
      <w:r w:rsidR="006F76BC">
        <w:t xml:space="preserve">Véronique </w:t>
      </w:r>
      <w:proofErr w:type="spellStart"/>
      <w:r w:rsidR="006F76BC">
        <w:t>Iratçabal</w:t>
      </w:r>
      <w:proofErr w:type="spellEnd"/>
      <w:r w:rsidR="006F76BC">
        <w:t xml:space="preserve">  </w:t>
      </w:r>
    </w:p>
    <w:p w:rsidR="006066EF" w:rsidRDefault="006066EF">
      <w:pPr>
        <w:spacing w:line="360" w:lineRule="auto"/>
      </w:pPr>
    </w:p>
    <w:p w:rsidR="006066EF" w:rsidRDefault="00176E1B">
      <w:pPr>
        <w:spacing w:line="360" w:lineRule="auto"/>
      </w:pPr>
      <w:r>
        <w:rPr>
          <w:sz w:val="32"/>
          <w:szCs w:val="32"/>
        </w:rPr>
        <w:t>VOTRE ATELIER</w:t>
      </w:r>
      <w:r>
        <w:t xml:space="preserve"> </w:t>
      </w:r>
      <w:proofErr w:type="spellStart"/>
      <w:r>
        <w:t>_____</w:t>
      </w:r>
      <w:r>
        <w:rPr>
          <w:color w:val="444444"/>
          <w:highlight w:val="white"/>
        </w:rPr>
        <w:t>Comment</w:t>
      </w:r>
      <w:proofErr w:type="spellEnd"/>
      <w:r>
        <w:rPr>
          <w:color w:val="444444"/>
          <w:highlight w:val="white"/>
        </w:rPr>
        <w:t xml:space="preserve"> mieux </w:t>
      </w:r>
      <w:proofErr w:type="gramStart"/>
      <w:r>
        <w:rPr>
          <w:color w:val="444444"/>
          <w:highlight w:val="white"/>
        </w:rPr>
        <w:t>accompagner</w:t>
      </w:r>
      <w:proofErr w:type="gramEnd"/>
      <w:r>
        <w:rPr>
          <w:color w:val="444444"/>
          <w:highlight w:val="white"/>
        </w:rPr>
        <w:t xml:space="preserve"> les personnes allophones dans leur montée en compétences numériques ? Médiation numérique, illettrisme, français langue étrangère </w:t>
      </w:r>
      <w:r>
        <w:rPr>
          <w:color w:val="444444"/>
          <w:highlight w:val="white"/>
        </w:rPr>
        <w:t>(FLE) : ressources et perspectives</w:t>
      </w:r>
    </w:p>
    <w:p w:rsidR="006066EF" w:rsidRPr="00176E1B" w:rsidRDefault="00176E1B" w:rsidP="00176E1B">
      <w:pPr>
        <w:pStyle w:val="Corpsdetexte"/>
        <w:rPr>
          <w:color w:val="444444"/>
          <w:highlight w:val="white"/>
        </w:rPr>
      </w:pPr>
      <w:r>
        <w:rPr>
          <w:color w:val="444444"/>
          <w:highlight w:val="white"/>
        </w:rPr>
        <w:t> </w:t>
      </w:r>
    </w:p>
    <w:p w:rsidR="006066EF" w:rsidRDefault="00176E1B">
      <w:pPr>
        <w:spacing w:line="360" w:lineRule="auto"/>
      </w:pPr>
      <w:r>
        <w:rPr>
          <w:sz w:val="32"/>
          <w:szCs w:val="32"/>
        </w:rPr>
        <w:t>Quelques mots sur la problématique que vous avez abordée</w:t>
      </w:r>
      <w:r>
        <w:t> : _______</w:t>
      </w:r>
    </w:p>
    <w:p w:rsidR="00176E1B" w:rsidRDefault="00176E1B" w:rsidP="006F76BC">
      <w:pPr>
        <w:spacing w:line="360" w:lineRule="auto"/>
      </w:pPr>
      <w:proofErr w:type="spellStart"/>
      <w:r>
        <w:t>_Les</w:t>
      </w:r>
      <w:proofErr w:type="spellEnd"/>
      <w:r>
        <w:t xml:space="preserve"> personnes allophones ou en situation d’illettrisme voient leurs difficultés d'usage du numérique renforcées. </w:t>
      </w:r>
      <w:r w:rsidR="006F76BC">
        <w:t>Il faut d’abord bien définir les publics pour mieux appréhender l’accompagnement</w:t>
      </w:r>
      <w:r>
        <w:t xml:space="preserve"> numérique</w:t>
      </w:r>
      <w:r w:rsidR="006F76BC">
        <w:t>. Réfléchir et se confronter à ses</w:t>
      </w:r>
      <w:r>
        <w:t xml:space="preserve"> propres</w:t>
      </w:r>
      <w:r w:rsidR="006F76BC">
        <w:t xml:space="preserve"> représentations permet de s’ouvrir</w:t>
      </w:r>
      <w:r>
        <w:t>.</w:t>
      </w:r>
    </w:p>
    <w:p w:rsidR="006066EF" w:rsidRDefault="00176E1B" w:rsidP="006F76BC">
      <w:pPr>
        <w:spacing w:line="360" w:lineRule="auto"/>
      </w:pPr>
      <w:r>
        <w:t xml:space="preserve"> </w:t>
      </w:r>
      <w:r>
        <w:rPr>
          <w:noProof/>
          <w:lang w:eastAsia="fr-FR"/>
        </w:rPr>
        <w:drawing>
          <wp:inline distT="0" distB="0" distL="0" distR="0">
            <wp:extent cx="2892399" cy="2711290"/>
            <wp:effectExtent l="19050" t="0" r="3201"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892556" cy="2711437"/>
                    </a:xfrm>
                    <a:prstGeom prst="rect">
                      <a:avLst/>
                    </a:prstGeom>
                    <a:noFill/>
                    <a:ln w="9525">
                      <a:noFill/>
                      <a:miter lim="800000"/>
                      <a:headEnd/>
                      <a:tailEnd/>
                    </a:ln>
                  </pic:spPr>
                </pic:pic>
              </a:graphicData>
            </a:graphic>
          </wp:inline>
        </w:drawing>
      </w:r>
    </w:p>
    <w:p w:rsidR="006066EF" w:rsidRDefault="006066EF">
      <w:pPr>
        <w:spacing w:line="360" w:lineRule="auto"/>
      </w:pPr>
    </w:p>
    <w:p w:rsidR="006066EF" w:rsidRDefault="00176E1B">
      <w:pPr>
        <w:spacing w:line="360" w:lineRule="auto"/>
      </w:pPr>
      <w:r>
        <w:rPr>
          <w:sz w:val="32"/>
          <w:szCs w:val="32"/>
        </w:rPr>
        <w:t>Les éléments à retenir de votre atelier</w:t>
      </w:r>
      <w:r>
        <w:t> : ________________________________</w:t>
      </w:r>
    </w:p>
    <w:p w:rsidR="006066EF" w:rsidRDefault="00176E1B" w:rsidP="006F76BC">
      <w:pPr>
        <w:spacing w:line="360" w:lineRule="auto"/>
      </w:pPr>
      <w:r>
        <w:t>L’accompagnement numérique des publics éloignés du français (allophones et personnes en si</w:t>
      </w:r>
      <w:r>
        <w:t xml:space="preserve">tuation d’illettrisme) demande de nombreuses compétences humaines et techniques. L’analyse et </w:t>
      </w:r>
      <w:r>
        <w:lastRenderedPageBreak/>
        <w:t>la réflexion ne peuvent être dissociées de l’empathie. Mettre en place des ateliers exige de suivre des étapes indispensables : recueil et synthèse des besoins, i</w:t>
      </w:r>
      <w:r>
        <w:t xml:space="preserve">dentification des freins : anticiper ce qui risque de bloquer pour y apporter des solutions. Ces étapes préalables sont essentielles pour adapter le contenu aux besoins des bénéficiaires. </w:t>
      </w:r>
    </w:p>
    <w:p w:rsidR="00176E1B" w:rsidRDefault="00176E1B" w:rsidP="006F76BC">
      <w:pPr>
        <w:spacing w:line="360" w:lineRule="auto"/>
      </w:pPr>
    </w:p>
    <w:p w:rsidR="006F76BC" w:rsidRDefault="006F76BC" w:rsidP="006F76BC">
      <w:pPr>
        <w:spacing w:line="360" w:lineRule="auto"/>
      </w:pPr>
      <w:r>
        <w:rPr>
          <w:noProof/>
          <w:lang w:eastAsia="fr-FR"/>
        </w:rPr>
        <w:drawing>
          <wp:inline distT="0" distB="0" distL="0" distR="0">
            <wp:extent cx="5731510" cy="4340012"/>
            <wp:effectExtent l="19050" t="0" r="254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31510" cy="4340012"/>
                    </a:xfrm>
                    <a:prstGeom prst="rect">
                      <a:avLst/>
                    </a:prstGeom>
                    <a:noFill/>
                    <a:ln w="9525">
                      <a:noFill/>
                      <a:miter lim="800000"/>
                      <a:headEnd/>
                      <a:tailEnd/>
                    </a:ln>
                  </pic:spPr>
                </pic:pic>
              </a:graphicData>
            </a:graphic>
          </wp:inline>
        </w:drawing>
      </w:r>
    </w:p>
    <w:p w:rsidR="006066EF" w:rsidRDefault="006066EF">
      <w:pPr>
        <w:spacing w:line="360" w:lineRule="auto"/>
      </w:pPr>
    </w:p>
    <w:p w:rsidR="006F76BC" w:rsidRDefault="00176E1B">
      <w:pPr>
        <w:spacing w:line="360" w:lineRule="auto"/>
        <w:rPr>
          <w:sz w:val="32"/>
          <w:szCs w:val="32"/>
        </w:rPr>
      </w:pPr>
      <w:r>
        <w:rPr>
          <w:sz w:val="32"/>
          <w:szCs w:val="32"/>
        </w:rPr>
        <w:t xml:space="preserve">Une phrase qui a été dite à ne pas manquer (verbatim) </w:t>
      </w:r>
    </w:p>
    <w:p w:rsidR="006066EF" w:rsidRDefault="00176E1B" w:rsidP="006F76BC">
      <w:pPr>
        <w:spacing w:line="360" w:lineRule="auto"/>
      </w:pPr>
      <w:r>
        <w:rPr>
          <w:sz w:val="32"/>
          <w:szCs w:val="32"/>
        </w:rPr>
        <w:t>« </w:t>
      </w:r>
      <w:r w:rsidR="006F76BC">
        <w:t>Notre rôle</w:t>
      </w:r>
      <w:r>
        <w:t xml:space="preserve"> consiste à remettre de l’humain dans le numérique »</w:t>
      </w:r>
      <w:r>
        <w:rPr>
          <w:b/>
          <w:bCs/>
          <w:sz w:val="36"/>
          <w:szCs w:val="36"/>
        </w:rPr>
        <w:t xml:space="preserve"> </w:t>
      </w:r>
    </w:p>
    <w:sectPr w:rsidR="006066EF" w:rsidSect="006066EF">
      <w:pgSz w:w="11906" w:h="16838"/>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066EF"/>
    <w:rsid w:val="00176E1B"/>
    <w:rsid w:val="006066EF"/>
    <w:rsid w:val="006F76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EF"/>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6066EF"/>
    <w:pPr>
      <w:keepNext/>
      <w:spacing w:before="240" w:after="120"/>
    </w:pPr>
    <w:rPr>
      <w:rFonts w:ascii="Liberation Sans" w:eastAsia="Noto Sans CJK SC" w:hAnsi="Liberation Sans" w:cs="Lohit Devanagari"/>
      <w:sz w:val="28"/>
      <w:szCs w:val="28"/>
    </w:rPr>
  </w:style>
  <w:style w:type="paragraph" w:styleId="Corpsdetexte">
    <w:name w:val="Body Text"/>
    <w:basedOn w:val="Normal"/>
    <w:rsid w:val="006066EF"/>
    <w:pPr>
      <w:spacing w:after="140" w:line="276" w:lineRule="auto"/>
    </w:pPr>
  </w:style>
  <w:style w:type="paragraph" w:styleId="Liste">
    <w:name w:val="List"/>
    <w:basedOn w:val="Corpsdetexte"/>
    <w:rsid w:val="006066EF"/>
    <w:rPr>
      <w:rFonts w:cs="Lohit Devanagari"/>
    </w:rPr>
  </w:style>
  <w:style w:type="paragraph" w:customStyle="1" w:styleId="Caption">
    <w:name w:val="Caption"/>
    <w:basedOn w:val="Normal"/>
    <w:qFormat/>
    <w:rsid w:val="006066EF"/>
    <w:pPr>
      <w:suppressLineNumbers/>
      <w:spacing w:before="120" w:after="120"/>
    </w:pPr>
    <w:rPr>
      <w:rFonts w:cs="Lohit Devanagari"/>
      <w:i/>
      <w:iCs/>
      <w:sz w:val="24"/>
      <w:szCs w:val="24"/>
    </w:rPr>
  </w:style>
  <w:style w:type="paragraph" w:customStyle="1" w:styleId="Index">
    <w:name w:val="Index"/>
    <w:basedOn w:val="Normal"/>
    <w:qFormat/>
    <w:rsid w:val="006066EF"/>
    <w:pPr>
      <w:suppressLineNumbers/>
    </w:pPr>
    <w:rPr>
      <w:rFonts w:cs="Lohit Devanagari"/>
    </w:rPr>
  </w:style>
  <w:style w:type="paragraph" w:styleId="Paragraphedeliste">
    <w:name w:val="List Paragraph"/>
    <w:basedOn w:val="Normal"/>
    <w:uiPriority w:val="34"/>
    <w:qFormat/>
    <w:rsid w:val="006066EF"/>
    <w:pPr>
      <w:ind w:left="720"/>
      <w:contextualSpacing/>
    </w:pPr>
  </w:style>
  <w:style w:type="paragraph" w:styleId="Textedebulles">
    <w:name w:val="Balloon Text"/>
    <w:basedOn w:val="Normal"/>
    <w:link w:val="TextedebullesCar"/>
    <w:uiPriority w:val="99"/>
    <w:semiHidden/>
    <w:unhideWhenUsed/>
    <w:rsid w:val="006F76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76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A286061CD5D47B8FDCE66450A1992" ma:contentTypeVersion="" ma:contentTypeDescription="Crée un document." ma:contentTypeScope="" ma:versionID="c7b906c9627f3196ae756c64fd34f67f">
  <xsd:schema xmlns:xsd="http://www.w3.org/2001/XMLSchema" xmlns:xs="http://www.w3.org/2001/XMLSchema" xmlns:p="http://schemas.microsoft.com/office/2006/metadata/properties" xmlns:ns1="http://schemas.microsoft.com/sharepoint/v3" xmlns:ns2="6a2a9a3e-8451-4b49-b7d4-33e881f0cab9" xmlns:ns3="4b287087-ae01-4b41-bd81-19ffce56c15b" xmlns:ns4="34737fd1-88a4-42a3-86c6-59cb7769a8ac" targetNamespace="http://schemas.microsoft.com/office/2006/metadata/properties" ma:root="true" ma:fieldsID="db30055448a0aa402939d2109396d8f1" ns1:_="" ns2:_="" ns3:_="" ns4:_="">
    <xsd:import namespace="http://schemas.microsoft.com/sharepoint/v3"/>
    <xsd:import namespace="6a2a9a3e-8451-4b49-b7d4-33e881f0cab9"/>
    <xsd:import namespace="4b287087-ae01-4b41-bd81-19ffce56c15b"/>
    <xsd:import namespace="34737fd1-88a4-42a3-86c6-59cb7769a8a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2a9a3e-8451-4b49-b7d4-33e881f0c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Flow_SignoffStatus" ma:index="22" nillable="true" ma:displayName="État de validation" ma:internalName="_x00c9_tat_x0020_de_x0020_validation">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db167985-3631-4ec7-acf1-124f178307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287087-ae01-4b41-bd81-19ffce56c15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37fd1-88a4-42a3-86c6-59cb7769a8ac" elementFormDefault="qualified">
    <xsd:import namespace="http://schemas.microsoft.com/office/2006/documentManagement/types"/>
    <xsd:import namespace="http://schemas.microsoft.com/office/infopath/2007/PartnerControls"/>
    <xsd:element name="TaxCatchAll" ma:index="26" nillable="true" ma:displayName="Colonne Attraper tout de Taxonomie" ma:hidden="true" ma:list="{b2eabfc4-2409-467a-ac94-2e41af302fe4}" ma:internalName="TaxCatchAll" ma:showField="CatchAllData" ma:web="34737fd1-88a4-42a3-86c6-59cb7769a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a2a9a3e-8451-4b49-b7d4-33e881f0cab9" xsi:nil="true"/>
    <lcf76f155ced4ddcb4097134ff3c332f xmlns="6a2a9a3e-8451-4b49-b7d4-33e881f0cab9">
      <Terms xmlns="http://schemas.microsoft.com/office/infopath/2007/PartnerControls"/>
    </lcf76f155ced4ddcb4097134ff3c332f>
    <PublishingExpirationDate xmlns="http://schemas.microsoft.com/sharepoint/v3" xsi:nil="true"/>
    <PublishingStartDate xmlns="http://schemas.microsoft.com/sharepoint/v3" xsi:nil="true"/>
    <TaxCatchAll xmlns="34737fd1-88a4-42a3-86c6-59cb7769a8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D1532-3257-405D-B8DA-7AAB0F259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2a9a3e-8451-4b49-b7d4-33e881f0cab9"/>
    <ds:schemaRef ds:uri="4b287087-ae01-4b41-bd81-19ffce56c15b"/>
    <ds:schemaRef ds:uri="34737fd1-88a4-42a3-86c6-59cb776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07852-6A5A-4841-A52C-B1A562790FB3}">
  <ds:schemaRefs>
    <ds:schemaRef ds:uri="http://schemas.microsoft.com/office/2006/metadata/properties"/>
    <ds:schemaRef ds:uri="http://schemas.microsoft.com/office/infopath/2007/PartnerControls"/>
    <ds:schemaRef ds:uri="6a2a9a3e-8451-4b49-b7d4-33e881f0cab9"/>
    <ds:schemaRef ds:uri="http://schemas.microsoft.com/sharepoint/v3"/>
    <ds:schemaRef ds:uri="34737fd1-88a4-42a3-86c6-59cb7769a8ac"/>
  </ds:schemaRefs>
</ds:datastoreItem>
</file>

<file path=customXml/itemProps3.xml><?xml version="1.0" encoding="utf-8"?>
<ds:datastoreItem xmlns:ds="http://schemas.openxmlformats.org/officeDocument/2006/customXml" ds:itemID="{DED17EFA-25E0-4146-BF5B-C1A0C1548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207</Words>
  <Characters>1143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LEBEY Anna</dc:creator>
  <dc:description/>
  <cp:lastModifiedBy>Atelier Graphite</cp:lastModifiedBy>
  <cp:revision>14</cp:revision>
  <dcterms:created xsi:type="dcterms:W3CDTF">2022-11-15T05:49:00Z</dcterms:created>
  <dcterms:modified xsi:type="dcterms:W3CDTF">2022-11-16T12:55:00Z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0x010100E64A286061CD5D47B8FDCE66450A1992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